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10311" w14:textId="77777777" w:rsidR="00B843F7" w:rsidRPr="00B843F7" w:rsidRDefault="00B843F7" w:rsidP="00B843F7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EEF5023" w14:textId="77777777" w:rsidR="00B843F7" w:rsidRPr="00B843F7" w:rsidRDefault="00B843F7" w:rsidP="00B843F7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0DE20198" w14:textId="77777777" w:rsidR="00B843F7" w:rsidRPr="00B843F7" w:rsidRDefault="00B843F7" w:rsidP="00B843F7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3263E482" w14:textId="77777777" w:rsidR="00B843F7" w:rsidRPr="00B843F7" w:rsidRDefault="00B843F7" w:rsidP="00B843F7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3D422339" w14:textId="48DBF1EA" w:rsidR="00B843F7" w:rsidRDefault="00B843F7" w:rsidP="00B843F7">
      <w:pPr>
        <w:ind w:left="-42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843F7">
        <w:rPr>
          <w:rFonts w:ascii="Times New Roman" w:hAnsi="Times New Roman" w:cs="Times New Roman"/>
          <w:sz w:val="24"/>
          <w:szCs w:val="24"/>
          <w:lang w:val="kk-KZ"/>
        </w:rPr>
        <w:t>форма</w:t>
      </w:r>
    </w:p>
    <w:p w14:paraId="38DC7E5E" w14:textId="77777777" w:rsidR="00B843F7" w:rsidRDefault="00B843F7" w:rsidP="00B843F7">
      <w:pPr>
        <w:ind w:left="-426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DC31ACD" w14:textId="6A9A9143" w:rsidR="00B843F7" w:rsidRPr="00B843F7" w:rsidRDefault="00B843F7" w:rsidP="00B843F7">
      <w:pPr>
        <w:ind w:left="-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843F7">
        <w:rPr>
          <w:rFonts w:ascii="Times New Roman" w:hAnsi="Times New Roman" w:cs="Times New Roman"/>
          <w:sz w:val="24"/>
          <w:szCs w:val="24"/>
        </w:rPr>
        <w:t>Налоговый регистр по определению стоимостных балансов групп (подгрупп) фиксированных активов и последующим расходам по фиксированным активам</w:t>
      </w:r>
    </w:p>
    <w:p w14:paraId="440018C7" w14:textId="42E75C7B" w:rsidR="008F3658" w:rsidRDefault="008F3658" w:rsidP="00B843F7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p w14:paraId="4CD5492A" w14:textId="77777777" w:rsidR="00B843F7" w:rsidRPr="00B843F7" w:rsidRDefault="00B843F7" w:rsidP="00B843F7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1. ИИН/БИН________________________________________________________________</w:t>
      </w:r>
    </w:p>
    <w:p w14:paraId="2D649D5C" w14:textId="77777777" w:rsidR="00B843F7" w:rsidRPr="00B843F7" w:rsidRDefault="00B843F7" w:rsidP="00B843F7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2. Ф.И.О. (при его наличии) или наименование налогоплательщика_________________</w:t>
      </w:r>
    </w:p>
    <w:p w14:paraId="07F5A8BE" w14:textId="77777777" w:rsidR="00B843F7" w:rsidRPr="00B843F7" w:rsidRDefault="00B843F7" w:rsidP="00B843F7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6573E16" w14:textId="33E9B92F" w:rsidR="00B843F7" w:rsidRDefault="00B843F7" w:rsidP="00B843F7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3. Налоговый период: _______________________________________________________</w:t>
      </w:r>
    </w:p>
    <w:p w14:paraId="28720815" w14:textId="77777777" w:rsidR="00B843F7" w:rsidRPr="00B843F7" w:rsidRDefault="00B843F7" w:rsidP="00B843F7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0D3A6F6" w14:textId="387B1737" w:rsidR="00B843F7" w:rsidRDefault="00B843F7" w:rsidP="00B843F7">
      <w:pPr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843F7">
        <w:rPr>
          <w:rFonts w:ascii="Times New Roman" w:hAnsi="Times New Roman" w:cs="Times New Roman"/>
          <w:sz w:val="24"/>
          <w:szCs w:val="24"/>
        </w:rPr>
        <w:t>Амортизационные отчисления и другие вычеты по фиксированным активам</w:t>
      </w:r>
    </w:p>
    <w:p w14:paraId="1E6008AE" w14:textId="151F44DE" w:rsidR="00B843F7" w:rsidRDefault="00B843F7" w:rsidP="00B843F7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963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561"/>
        <w:gridCol w:w="2066"/>
        <w:gridCol w:w="2090"/>
        <w:gridCol w:w="2077"/>
      </w:tblGrid>
      <w:tr w:rsidR="00B843F7" w:rsidRPr="00B843F7" w14:paraId="0D1EAEEE" w14:textId="77777777" w:rsidTr="00B843F7">
        <w:trPr>
          <w:trHeight w:val="36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41E6C6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3F00D0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стоимостных показателей и вычетов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0EFEF5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Здания, сооружения (за исключением нефтяных, газовых скважин и передаточных</w:t>
            </w:r>
          </w:p>
          <w:p w14:paraId="7557DD35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CE4326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Оставшиеся группы фиксированных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2DD3F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фиксированным активам</w:t>
            </w:r>
          </w:p>
        </w:tc>
      </w:tr>
      <w:tr w:rsidR="00B843F7" w:rsidRPr="00B843F7" w14:paraId="4F937D75" w14:textId="77777777" w:rsidTr="00B843F7">
        <w:trPr>
          <w:trHeight w:val="119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98972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8AC1F6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FFBC4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AA82B7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591B4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843F7" w:rsidRPr="00B843F7" w14:paraId="2211B84B" w14:textId="77777777" w:rsidTr="00B843F7">
        <w:trPr>
          <w:trHeight w:val="23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0CDE3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77C3F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Стоимостный баланс подгрупп (групп) на начало налогового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D63D41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89B3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67541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1BD78BDC" w14:textId="77777777" w:rsidTr="00B843F7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D7E918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15FB03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поступивших фиксированных активов подгрупп (групп)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B6BE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706CF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4D0C23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2D9F29DB" w14:textId="77777777" w:rsidTr="00B843F7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1D3530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8E4A1A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выбывших фиксированных активов подгрупп (групп)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DB53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DDDCD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EFAFB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421BC994" w14:textId="77777777" w:rsidTr="00B843F7">
        <w:trPr>
          <w:trHeight w:val="119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1572A7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DC3E12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Последующие расходы, относимые на вычеты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46045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225D18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A3E7C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109B949B" w14:textId="77777777" w:rsidTr="00B843F7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1104E3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F5554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Последующие расходы, относимые на увеличение стоимостного баланса подгрупп (групп)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D646D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84DB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7B4F3C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081ED6B6" w14:textId="77777777" w:rsidTr="00B843F7">
        <w:trPr>
          <w:trHeight w:val="23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A0AFB0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80C151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Стоимостный баланс подгрупп (групп) на конец налогового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4F3C0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87F6DA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15C47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0B55BB43" w14:textId="77777777" w:rsidTr="00B843F7">
        <w:trPr>
          <w:trHeight w:val="119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1FB08D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C4E00C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Амортизационные отчисления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D4097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7D1E83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084541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01B0E217" w14:textId="77777777" w:rsidTr="00B843F7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FDBB59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094683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 стоимостного баланса группы (II, III, IV) при выбытии всех фиксированных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E2C8C2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CAB06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79B210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41076671" w14:textId="77777777" w:rsidTr="00B843F7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E38C9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356C3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Величина стоимостного баланса подгрупп (группы) менее </w:t>
            </w:r>
            <w:proofErr w:type="gramStart"/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месячных</w:t>
            </w:r>
            <w:proofErr w:type="gramEnd"/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расчетных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5217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61C7D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D703C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0441FEF5" w14:textId="77777777" w:rsidTr="00B843F7">
        <w:trPr>
          <w:trHeight w:val="23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F1E32D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A5254B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Стоимостный баланс подгрупп (групп) на конец налогового периода с учетом корректировок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46FF6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7EF4F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C47ED1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E93EDC2" w14:textId="77777777" w:rsidR="00B843F7" w:rsidRDefault="00B843F7" w:rsidP="00B843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286E9" w14:textId="731382F5" w:rsidR="00B843F7" w:rsidRPr="00B843F7" w:rsidRDefault="00B843F7" w:rsidP="00B843F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Расшифровка амортизационных отчислений и других вычетов по фиксированным активам</w:t>
      </w:r>
    </w:p>
    <w:p w14:paraId="11AE6CB8" w14:textId="26463869" w:rsidR="00B843F7" w:rsidRPr="00B843F7" w:rsidRDefault="00B843F7" w:rsidP="00B843F7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843F7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9514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270"/>
        <w:gridCol w:w="915"/>
        <w:gridCol w:w="1232"/>
        <w:gridCol w:w="1245"/>
        <w:gridCol w:w="1516"/>
        <w:gridCol w:w="1394"/>
        <w:gridCol w:w="1376"/>
      </w:tblGrid>
      <w:tr w:rsidR="00B843F7" w:rsidRPr="00B843F7" w14:paraId="49DE328F" w14:textId="77777777" w:rsidTr="00B843F7">
        <w:trPr>
          <w:trHeight w:val="9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F852FD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49BC4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фик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ак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 в со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ствии с ГК РК КОФ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8583D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груп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DF22D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дель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нор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амор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от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чис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D09644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мая нор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амор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от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чис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219A74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ба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лан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сы под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групп (групп) на на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 на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пе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F0F68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мость по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сту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пив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ших фик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ак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 под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груп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 (груп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6EFC9E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мость вы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быв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ших фик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ак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 под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груп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 (груп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пы)</w:t>
            </w:r>
          </w:p>
        </w:tc>
      </w:tr>
      <w:tr w:rsidR="00B843F7" w:rsidRPr="00B843F7" w14:paraId="1699B5FC" w14:textId="77777777" w:rsidTr="00B843F7">
        <w:trPr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666D9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E476EF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3A270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B86F1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24A6BE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D7CAC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44AE6B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43A33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843F7" w:rsidRPr="00B843F7" w14:paraId="3E31F1CB" w14:textId="77777777" w:rsidTr="00B843F7">
        <w:trPr>
          <w:trHeight w:val="301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736E7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стро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(за ис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клю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 неф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тя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ных, га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вых сква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жин и пе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устройств)</w:t>
            </w:r>
          </w:p>
        </w:tc>
      </w:tr>
      <w:tr w:rsidR="00B843F7" w:rsidRPr="00B843F7" w14:paraId="0034C036" w14:textId="77777777" w:rsidTr="00B843F7">
        <w:trPr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5C33A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EF50AC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F6D711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54EF6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D31E8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67E0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E993C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29447A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606CC61A" w14:textId="77777777" w:rsidTr="00B843F7">
        <w:trPr>
          <w:trHeight w:val="301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BE7A7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(стро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за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толь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 по ито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гу фор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мы):</w:t>
            </w:r>
          </w:p>
        </w:tc>
      </w:tr>
      <w:tr w:rsidR="00B843F7" w:rsidRPr="00B843F7" w14:paraId="2B529A36" w14:textId="77777777" w:rsidTr="00B843F7">
        <w:trPr>
          <w:trHeight w:val="301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F8B55D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груп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 фик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ак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</w:t>
            </w:r>
          </w:p>
        </w:tc>
      </w:tr>
      <w:tr w:rsidR="00B843F7" w:rsidRPr="00B843F7" w14:paraId="073127B1" w14:textId="77777777" w:rsidTr="00B843F7">
        <w:trPr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2D2E6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18DC1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81AE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CD813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6A27AB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0B1FF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396C89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5A900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3F7" w:rsidRPr="00B843F7" w14:paraId="19CC43F6" w14:textId="77777777" w:rsidTr="00B843F7">
        <w:trPr>
          <w:trHeight w:val="30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CC57B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(стро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за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толь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 по ито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гу фор</w:t>
            </w: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ECE7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39F2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D283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4AC239A" w14:textId="63B404AC" w:rsidR="00B843F7" w:rsidRDefault="00B843F7" w:rsidP="00B843F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C243778" w14:textId="5BFF7CCA" w:rsidR="00C20C12" w:rsidRDefault="00C20C12" w:rsidP="00C20C12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Продолжение таблицы</w:t>
      </w:r>
    </w:p>
    <w:tbl>
      <w:tblPr>
        <w:tblpPr w:leftFromText="180" w:rightFromText="180" w:vertAnchor="text" w:horzAnchor="margin" w:tblpXSpec="center" w:tblpY="111"/>
        <w:tblW w:w="98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482"/>
        <w:gridCol w:w="482"/>
        <w:gridCol w:w="546"/>
        <w:gridCol w:w="546"/>
        <w:gridCol w:w="491"/>
        <w:gridCol w:w="491"/>
        <w:gridCol w:w="450"/>
        <w:gridCol w:w="450"/>
        <w:gridCol w:w="546"/>
        <w:gridCol w:w="546"/>
        <w:gridCol w:w="396"/>
        <w:gridCol w:w="3673"/>
      </w:tblGrid>
      <w:tr w:rsidR="00C20C12" w:rsidRPr="00B843F7" w14:paraId="167528F1" w14:textId="77777777" w:rsidTr="00C20C12">
        <w:trPr>
          <w:trHeight w:val="6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144BCD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щие рас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ды, от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на вы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ACE88A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щие рас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ды, от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на уве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сто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ба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 под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груп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пы (груп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пы)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61D3A5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ба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 под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групп (групп) на ко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на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12ECB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от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CF105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сто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ба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 груп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пы (II, III, IV) при вы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тии всех фик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ак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72D66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сто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ба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 под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групп (групп) ме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300 ме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сяч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рас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по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458110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ба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 под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групп (групп) на ко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на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с уче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кор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рек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вок</w:t>
            </w:r>
          </w:p>
        </w:tc>
      </w:tr>
      <w:tr w:rsidR="00C20C12" w:rsidRPr="00B843F7" w14:paraId="2873C82B" w14:textId="77777777" w:rsidTr="00C20C12">
        <w:trPr>
          <w:trHeight w:val="1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06F22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A42D11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61A41D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E1DC8D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6FC44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89DE2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EDD791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0C12" w:rsidRPr="00B843F7" w14:paraId="186DDC0A" w14:textId="77777777" w:rsidTr="00C20C12">
        <w:trPr>
          <w:trHeight w:val="154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D2E213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стро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(за ис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неф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тя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ных, га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сква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жин и пе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устройств)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37E58B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0C12" w:rsidRPr="00B843F7" w14:paraId="6DCA4CBF" w14:textId="77777777" w:rsidTr="00C20C12">
        <w:trPr>
          <w:trHeight w:val="1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F3D9B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B3234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1FF5C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E39AC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F75FBD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20B0D9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2D50D8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834A6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0C12" w:rsidRPr="00B843F7" w14:paraId="415530B4" w14:textId="77777777" w:rsidTr="00C20C12">
        <w:trPr>
          <w:trHeight w:val="1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EF3AD8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B122E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948E6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27A569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019C91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E01DF9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AB53F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37F8EC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0C12" w:rsidRPr="00B843F7" w14:paraId="6E5A8E01" w14:textId="77777777" w:rsidTr="00C20C12">
        <w:trPr>
          <w:trHeight w:val="154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3A415A" w14:textId="77777777" w:rsidR="00B843F7" w:rsidRPr="00B843F7" w:rsidRDefault="00B843F7" w:rsidP="00B84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груп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пы фик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ак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A2356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0C12" w:rsidRPr="00B843F7" w14:paraId="75EED76B" w14:textId="77777777" w:rsidTr="00C20C12">
        <w:trPr>
          <w:trHeight w:val="1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06AE8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35088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154E2B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649C8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54614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EE23BD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DDE586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BB13AD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0C12" w:rsidRPr="00B843F7" w14:paraId="35AAF515" w14:textId="77777777" w:rsidTr="00C20C12">
        <w:trPr>
          <w:trHeight w:val="1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CB2293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FA413D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A580DA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4CEDC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4BE409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7EBD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9F3DEB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173DCF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0C12" w:rsidRPr="00B843F7" w14:paraId="5BC27EB3" w14:textId="77777777" w:rsidTr="00C20C12">
        <w:trPr>
          <w:trHeight w:val="1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88FA0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C9863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EF07F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7D0C95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587ECE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057409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156E1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AEFF3B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826042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B3BE7C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F7436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3A1B4D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63117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60A36" w14:textId="77777777" w:rsidR="00B843F7" w:rsidRPr="00B843F7" w:rsidRDefault="00B843F7" w:rsidP="00B843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6F0E87A" w14:textId="49AA16B9" w:rsidR="00B843F7" w:rsidRDefault="00B843F7" w:rsidP="00B843F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8BFCF27" w14:textId="77777777" w:rsidR="00C20C12" w:rsidRPr="00C20C12" w:rsidRDefault="00C20C12" w:rsidP="00C20C12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Амортизационные отчисления по фиксированным активам, впервые введенным в эксплуатацию на территории Республики Казахстан</w:t>
      </w:r>
    </w:p>
    <w:p w14:paraId="517AFEB5" w14:textId="3462BA30" w:rsidR="00C20C12" w:rsidRDefault="00C20C12" w:rsidP="00C20C12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10244" w:type="dxa"/>
        <w:tblInd w:w="-7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021"/>
        <w:gridCol w:w="776"/>
        <w:gridCol w:w="892"/>
        <w:gridCol w:w="1009"/>
        <w:gridCol w:w="1013"/>
        <w:gridCol w:w="996"/>
        <w:gridCol w:w="927"/>
        <w:gridCol w:w="1152"/>
        <w:gridCol w:w="1010"/>
        <w:gridCol w:w="883"/>
      </w:tblGrid>
      <w:tr w:rsidR="00C20C12" w:rsidRPr="00C20C12" w14:paraId="22E153E2" w14:textId="77777777" w:rsidTr="00C20C12">
        <w:trPr>
          <w:trHeight w:val="9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865D06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ABB839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фик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ак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 в со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ствии с ГК РК КОФ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C74517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вво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B249C9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груп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C59A55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дель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нор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амор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от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чис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ний,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BE8187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мая нор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амор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от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чис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ний,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7BD8EE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нор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амор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</w:t>
            </w:r>
          </w:p>
          <w:p w14:paraId="303E07D7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чис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ний,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BF93BA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по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сту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пив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ших фик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ак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93317F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от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чис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под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щие вы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в пре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лах двой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нор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 амор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DE9055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сто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мость фик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ак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53D363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вы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бы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тия фик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ак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</w:p>
        </w:tc>
      </w:tr>
      <w:tr w:rsidR="00C20C12" w:rsidRPr="00C20C12" w14:paraId="436296F5" w14:textId="77777777" w:rsidTr="00C20C12">
        <w:trPr>
          <w:trHeight w:val="1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BD38D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CFA8E2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EA5B7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783F7C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28685D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389C57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D2864E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7729DD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DE0B9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F2E016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BA5BF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20C12" w:rsidRPr="00C20C12" w14:paraId="4E9A1FC7" w14:textId="77777777" w:rsidTr="00C20C12">
        <w:trPr>
          <w:trHeight w:val="1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461789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01B723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DBA7CA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C09D6B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63CBB7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8B1983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E6BA4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543D22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BA10EE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282A31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E76853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C12" w:rsidRPr="00C20C12" w14:paraId="53DBD66A" w14:textId="77777777" w:rsidTr="00C20C12">
        <w:trPr>
          <w:trHeight w:val="1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1F727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334F2F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71AADE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4FCF6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593BF1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D4679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655317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318FF7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CE540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A39F04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84355" w14:textId="77777777" w:rsidR="00C20C12" w:rsidRPr="00C20C12" w:rsidRDefault="00C20C12" w:rsidP="00C20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C12" w:rsidRPr="00C20C12" w14:paraId="27D54F2E" w14:textId="77777777" w:rsidTr="00C20C12">
        <w:trPr>
          <w:trHeight w:val="157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D85BD" w14:textId="77777777" w:rsidR="00C20C12" w:rsidRPr="00C20C12" w:rsidRDefault="00C20C12" w:rsidP="00C20C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(стро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за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толь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 по ито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гу фор</w:t>
            </w: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C0665A" w14:textId="77777777" w:rsidR="00C20C12" w:rsidRPr="00C20C12" w:rsidRDefault="00C20C12" w:rsidP="00C20C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233122" w14:textId="77777777" w:rsidR="00C20C12" w:rsidRPr="00C20C12" w:rsidRDefault="00C20C12" w:rsidP="00C20C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20C628" w14:textId="77777777" w:rsidR="00C20C12" w:rsidRPr="00C20C12" w:rsidRDefault="00C20C12" w:rsidP="00C20C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5EE072" w14:textId="77777777" w:rsidR="00C20C12" w:rsidRPr="00C20C12" w:rsidRDefault="00C20C12" w:rsidP="00C20C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A8DA2E5" w14:textId="6B0EC4E6" w:rsidR="00C20C12" w:rsidRDefault="00C20C12" w:rsidP="00C20C1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9A4C2F4" w14:textId="6CD99EAA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</w:t>
      </w:r>
    </w:p>
    <w:p w14:paraId="70D7F975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 xml:space="preserve">(Ф.И.О. (при его наличии), подпись руководителя (налогоплательщика), печать (при её наличии, </w:t>
      </w:r>
    </w:p>
    <w:p w14:paraId="2889F025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за исключением юридических лиц, относящихся к субъектам частного предпринимательства)</w:t>
      </w:r>
    </w:p>
    <w:p w14:paraId="4ECE91FC" w14:textId="73A8D2C5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5C34284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(Ф.И.О. (при его наличии), подпись главного бухгалтера)</w:t>
      </w:r>
    </w:p>
    <w:p w14:paraId="0EDBB738" w14:textId="2EAAC8E0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E109D16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(Ф.И.О. (при его наличии), подпись лица, ответственного за составление налогового регистра)</w:t>
      </w:r>
    </w:p>
    <w:p w14:paraId="7E67223D" w14:textId="68E91635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59988C7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(Дата составления налогового регистра)</w:t>
      </w:r>
    </w:p>
    <w:p w14:paraId="7E2115A1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647AB70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расшифровка аббревиатур:</w:t>
      </w:r>
    </w:p>
    <w:p w14:paraId="1688BB89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ИИН – индивидуальный идентификационный номер;</w:t>
      </w:r>
    </w:p>
    <w:p w14:paraId="168F3410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БИН – бизнес - идентификационный номер;</w:t>
      </w:r>
    </w:p>
    <w:p w14:paraId="0ECD139F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Ф.И.О. – фамилия, имя, отчество (при его наличии</w:t>
      </w:r>
      <w:proofErr w:type="gramStart"/>
      <w:r w:rsidRPr="00C20C12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6C766B03" w14:textId="5105F17B" w:rsid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0C12">
        <w:rPr>
          <w:rFonts w:ascii="Times New Roman" w:hAnsi="Times New Roman" w:cs="Times New Roman"/>
          <w:sz w:val="24"/>
          <w:szCs w:val="24"/>
        </w:rPr>
        <w:t>ГК РК КОФ – Государственный классификатор Республики Казахстан Классификатор основных фондов.</w:t>
      </w:r>
    </w:p>
    <w:p w14:paraId="6C0DC9AE" w14:textId="67FF1BC8" w:rsid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0D9C65C" w14:textId="49D76C23" w:rsid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C1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Правила заполнения </w:t>
      </w:r>
      <w:r w:rsidRPr="00C20C12">
        <w:rPr>
          <w:rFonts w:ascii="Times New Roman" w:hAnsi="Times New Roman" w:cs="Times New Roman"/>
          <w:b/>
          <w:bCs/>
          <w:sz w:val="28"/>
          <w:szCs w:val="28"/>
        </w:rPr>
        <w:t>формы налогового регистра по определению стоимостных балансов групп (подгрупп) фиксированных активов и последующим расходам по фиксированным активам</w:t>
      </w:r>
    </w:p>
    <w:p w14:paraId="45289CEC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13. Форма налогового регистра по определению стоимостных балансов групп (подгрупп) фиксированных активов и последующим расходам по фиксированным активам предназначена для определения стоимостных балансов групп (подгрупп) фиксированных активов и последующих расходов по фиксированным активам, в целях налогообложения в соответствии с разделом 7 Налогового кодекса.</w:t>
      </w:r>
    </w:p>
    <w:p w14:paraId="4218ECCA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14. В таблице «Амортизационные отчисления и другие вычеты по фиксированным активам» указываются:</w:t>
      </w:r>
    </w:p>
    <w:p w14:paraId="5140E02B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1) в графе 1 – порядковый номер строки;</w:t>
      </w:r>
    </w:p>
    <w:p w14:paraId="40E4A2D8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2) в графе 2 – наименование стоимостных показателей и вычетов по фиксированным активам;</w:t>
      </w:r>
    </w:p>
    <w:p w14:paraId="1E480E6A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3) в графе 3 – показатели, предназначенные для отражения вычетов по зданиям, сооружениям (за исключением нефтяных, газовых скважин и передаточных устройств), заполняемые на основании итоговых данных таблицы «Расшифровка амортизационных отчислений и других вы</w:t>
      </w:r>
      <w:bookmarkStart w:id="0" w:name="_GoBack"/>
      <w:bookmarkEnd w:id="0"/>
      <w:r w:rsidRPr="00C20C12">
        <w:rPr>
          <w:rFonts w:ascii="Times New Roman" w:hAnsi="Times New Roman" w:cs="Times New Roman"/>
          <w:sz w:val="24"/>
          <w:szCs w:val="24"/>
          <w:lang w:val="kk-KZ"/>
        </w:rPr>
        <w:t>четов по фиксированным активам», предусмотренной настоящей формой налогового регистра;</w:t>
      </w:r>
    </w:p>
    <w:p w14:paraId="4D5DB918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4) в графе 4 – показатели, предназначенные для отражения вычетов по оставшимся группам фиксированных активов, заполняемые на основании итоговых данных таблицы «Расшифровка амортизационных отчислений и других вычетов по фиксированным активам»;</w:t>
      </w:r>
    </w:p>
    <w:p w14:paraId="1F92BD97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lastRenderedPageBreak/>
        <w:t>5) в графе 5 – итоговые показатели, предназначенные для отражения вычетов по фиксированным активам. Определяется как сумма соответствующих граф 3 и 4.</w:t>
      </w:r>
    </w:p>
    <w:p w14:paraId="5B800499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15. В таблице «Расшифровка амортизационных отчислений и других вычетов по фиксированным активам» указываются:</w:t>
      </w:r>
    </w:p>
    <w:p w14:paraId="593D4B01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1) в графе 1 – порядковый номер строки;</w:t>
      </w:r>
    </w:p>
    <w:p w14:paraId="1F735502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2) в графе 2 – код основных средств по I группе фиксированных активов в соответствии с Государственным классификатором Республики Казахстан «Классификатор основных фондов», установленный государственным органом, осуществляющим государственное регулирование в области технического регулирования или наименование группы (по II, III и IV группам) фиксированных активов, по которым производится исчисление амортизационных отчислений налогоплательщиком в соответствии со статьей 271 Налогового кодекса;</w:t>
      </w:r>
    </w:p>
    <w:p w14:paraId="2690F9EE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3) в графе 3 – номер группы фиксированных активов для исчисления амортизационных отчислений в соответствии со статьей 267 Налогового кодекса;</w:t>
      </w:r>
    </w:p>
    <w:p w14:paraId="22D0EEE3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4) в графе 4 – предельные нормы амортизации в процентах в соответствии со статьями 269, 271 Налогового кодекса;</w:t>
      </w:r>
    </w:p>
    <w:p w14:paraId="4469429F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5) в графе 5 – нормы амортизации, применяемые налогоплательщиком в процентах по каждой подгруппе (группе), но не выше предельных, указанных в графе 4;</w:t>
      </w:r>
    </w:p>
    <w:p w14:paraId="152DA488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6) в графе 6 – по каждой налоговой подгруппе (группе) указывается величина стоимостного баланса подгруппы (группы) на начало налогового периода. Итоговые величины данной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</w:p>
    <w:p w14:paraId="130DB5EC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7) в графе 7 – стоимость поступивших фиксированных активов, определенная в соответствии со статьями 268, 269 Налогового кодекса. Стоимость указанных основных средств и нематериальных активов определяется в соответствии со статьями 268, 269 Налогового кодекса.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</w:p>
    <w:p w14:paraId="1008E146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8) в графе 8 – стоимость выбывших фиксированных активов, определенная в соответствии со статьей 270 Налогового кодекса.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</w:p>
    <w:p w14:paraId="3FB6F94B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9) в графе 9 – сумма последующих расходов, относимых на вычеты в соответствии со статьей 272 Налогового кодекса;</w:t>
      </w:r>
    </w:p>
    <w:p w14:paraId="69869B4B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10) в графе 10 – сумма последующих расходов, относимых на увеличение стоимостного баланса группы (подгруппы) в соответствии с пунктом 2 статьи 272 Налогового кодекса;</w:t>
      </w:r>
    </w:p>
    <w:p w14:paraId="6C007F69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11) в графе 11 – величина стоимостного баланса подгруппы на конец отчетного налогового периода в соответствии со статьей 267 Налогового кодекса, которая определяется в следующем порядке: графа 6 + графа 7 - графа 8 + графа 10.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</w:p>
    <w:p w14:paraId="6A24BFF3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12) в графе 12 – сумма амортизационных отчислений за налоговый период, исчисленная в соответствии со статьей 271 Налогового кодекса в следующем порядке: графа 11 х графа 5;</w:t>
      </w:r>
    </w:p>
    <w:p w14:paraId="1EE4C132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lastRenderedPageBreak/>
        <w:t>13) в графе 13 – величина стоимостного баланса фиксированных активов группы (II, III и IV) при выбытии фиксированных активов на конец налогового периода подлежит вычету в соответствии со статьей 273 Налогового кодекса;</w:t>
      </w:r>
    </w:p>
    <w:p w14:paraId="48D44E91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14) в графе 14 – стоимостный баланс подгруппы (группы), величина которого на конец отчетного налогового периода составляет сумму меньшую, чем 300 месячных расчетных показателей и подлежит вычету в соответствии со статьей 273 Налогового кодекса.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</w:p>
    <w:p w14:paraId="13D6DB62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15) в графе 15 – стоимостный баланс подгруппы (группы) на конец налогового периода с учетом корректировок, предусмотренных Налоговым кодексом, который определяется в следующем порядке: графа 11 – графа 12 – графа 13 – графа 14.</w:t>
      </w:r>
    </w:p>
    <w:p w14:paraId="34AAF5C0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В случае выбытия, за исключением безвозмездной передачи, фиксированного актива подгруппы (по I группе) сумма в размере стоимостного баланса подгруппы на конец налогового периода признается убытком от выбытия фиксированных активов I группы. Стоимостный баланс данной подгруппы приравнивается к нулю и не подлежит вычету.</w:t>
      </w:r>
    </w:p>
    <w:p w14:paraId="1DA2949A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В случае безвозмездной передачи всех фиксированных активов подгруппы (по I группе) или группы (по II, III и IV группам) стоимостный баланс соответствующей подгруппы или группы на конец налогового периода приравнивается к нулю и не подлежит вычету.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период.</w:t>
      </w:r>
    </w:p>
    <w:p w14:paraId="012BA739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16. В таблице «Амортизационные отчисления по фиксированным активам, впервые введенным в эксплуатацию на территории Республики Казахстан» (заполняется налогоплательщиками, являющимися недропользователями, в соответствии с условиями, предусмотренными статьей 271 Налогового кодекса) указываются:</w:t>
      </w:r>
    </w:p>
    <w:p w14:paraId="02BAEFEE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1) в графе 1 – порядковый номер строки;</w:t>
      </w:r>
    </w:p>
    <w:p w14:paraId="5893361B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2) в графе 2 – код фиксированных активов, впервые введенных в эксплуатацию на территории Республики Казахстан в соответствии с Государственным классификатором Республики Казахстан «Классификатор основных фондов»;</w:t>
      </w:r>
    </w:p>
    <w:p w14:paraId="228F9B70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3) в графе 3 – дата ввода в эксплуатацию на территории Республики Казахстан соответствующего фиксированного актива;</w:t>
      </w:r>
    </w:p>
    <w:p w14:paraId="7A4AD8F2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4) в графе 4 – номер группы фиксированных активов в соответствии со статьей 267 Налогового кодекса;</w:t>
      </w:r>
    </w:p>
    <w:p w14:paraId="2471C423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5) в графе 5 – предельные нормы амортизации в процентах в соответствии со статьей 271 Налогового кодекса;</w:t>
      </w:r>
    </w:p>
    <w:p w14:paraId="3B7E2EE2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6) в графе 6 – нормы амортизации, применяемые налогоплательщиком в процентах по каждому наименованию фиксированных активов, но не выше предельных, указанных в графе 5;</w:t>
      </w:r>
    </w:p>
    <w:p w14:paraId="72D96878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7) в графе 7 – двойные нормы амортизации, применяемые налогоплательщиком в соответствии с пунктом 7 статьи 271 Налогового кодекса, определяемые как произведение величины графы 6 на «2» соответствующей строки;</w:t>
      </w:r>
    </w:p>
    <w:p w14:paraId="1989B1AB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 xml:space="preserve">8) в графе 8 – стоимость поступивших фиксированных активов, впервые введенных в эксплуатацию на территории Республики Казахстан и используемых налогоплательщиком в целях получения совокупного годового дохода. Итоговая величина настоящей графы </w:t>
      </w:r>
      <w:r w:rsidRPr="00C20C12">
        <w:rPr>
          <w:rFonts w:ascii="Times New Roman" w:hAnsi="Times New Roman" w:cs="Times New Roman"/>
          <w:sz w:val="24"/>
          <w:szCs w:val="24"/>
          <w:lang w:val="kk-KZ"/>
        </w:rPr>
        <w:lastRenderedPageBreak/>
        <w:t>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52719A27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9) в графе 9 – сумма амортизационных отчислений, исчисленная по двойной норме амортизации, при условии использования данных фиксированных активов в целях получения совокупного годового дохода не менее трех лет в соответствии со статьей 271 Налогового кодекса, определяемая как произведение величин, указанных в графах 7 и 8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6B33AA60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10) в графе 10 – остаточная стоимость фиксированных активов, впервые введенных в эксплуатацию на территории Республики Казахстан в налоговом периоде, которая используется в целях получения совокупного годового дохода, определятся как разница граф 8 и 9. В последующем налоговом периоде данные этой графы подлежат включению в стоимостный баланс соответствующей подгруппы (группы) для исчисления амортизационных отчислений в целях налогообложения и переносятся в соответствующую графу 7 таблицы «Расшифровка амортизационных отчислений и других вычетов по фиксированным активам» налогового регистра следующего налогового периода.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381C0768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11) в графе 11 – дата выбытия соответствующего фиксированного актива в случае его реализации до истечения трехлетнего периода эксплуатации.</w:t>
      </w:r>
    </w:p>
    <w:p w14:paraId="2654F53A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17.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245080BF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При внесении изменения и (или) дополнения в налоговый регистр в дополнительном налоговом регистре указываются соответствующие реквизиты и показатели соответствующей графы, а также данные тех граф таблиц налогового регистра, суммарное значение которых зависит от измененных показателей графы. При этом в дополнительном налоговом регистре также отражаются реквизиты не измененных граф 2, 3, 4 и 5 таблицы «Расшифровка амортизационных отчислений и других вычетов по фиксированным активам» и (или) не измененных граф 2, 3, 4, 5, 6 и 11 таблицы «Амортизационные отчисления по фиксированным активам, впервые введенным в эксплуатацию на территории Республики Казахстан» налогового регистра.</w:t>
      </w:r>
    </w:p>
    <w:p w14:paraId="3F67EE96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При внесении изменений, направленных на уменьшение значений граф таблиц налогового регистра, к соответствующим значениям дополнительного налогового регистра применяется знак минус «-».</w:t>
      </w:r>
    </w:p>
    <w:p w14:paraId="1138CA1C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В случае дополнительного внесения изменения фиксированных активов в налоговый регистр дополнительный налоговый регистр составляется в соответствии с пунктами 15 – 16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регистре, за период, в который вносятся дополнения.</w:t>
      </w:r>
    </w:p>
    <w:p w14:paraId="4AAE50F0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18.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1C63ECF1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19.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налогоплательщика (при eё наличии, за исключением юридических лиц, относящихся к субъектам частного предпринимательства), с указанием:</w:t>
      </w:r>
    </w:p>
    <w:p w14:paraId="4085A6A7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lastRenderedPageBreak/>
        <w:t>1) причины внесения изменений и (или) дополнений в налоговый регистр;</w:t>
      </w:r>
    </w:p>
    <w:p w14:paraId="62572AFC" w14:textId="77777777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2) номера группы фиксированного актива и номер строки налогового регистра, в который вносятся изменения;</w:t>
      </w:r>
    </w:p>
    <w:p w14:paraId="685C5C0B" w14:textId="4518E8FA" w:rsidR="00C20C12" w:rsidRPr="00C20C12" w:rsidRDefault="00C20C12" w:rsidP="00C20C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C12">
        <w:rPr>
          <w:rFonts w:ascii="Times New Roman" w:hAnsi="Times New Roman" w:cs="Times New Roman"/>
          <w:sz w:val="24"/>
          <w:szCs w:val="24"/>
          <w:lang w:val="kk-KZ"/>
        </w:rPr>
        <w:t>3) даты составления письменного обоснования.</w:t>
      </w:r>
    </w:p>
    <w:p w14:paraId="30A4A876" w14:textId="77777777" w:rsidR="00C20C12" w:rsidRPr="00C20C12" w:rsidRDefault="00C20C12" w:rsidP="00C20C1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D3685A9" w14:textId="77777777" w:rsidR="00C20C12" w:rsidRPr="00B843F7" w:rsidRDefault="00C20C12" w:rsidP="00B843F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C20C12" w:rsidRPr="00B8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1B"/>
    <w:rsid w:val="008F3658"/>
    <w:rsid w:val="00B843F7"/>
    <w:rsid w:val="00C20C12"/>
    <w:rsid w:val="00C2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007F"/>
  <w15:chartTrackingRefBased/>
  <w15:docId w15:val="{8EF975AE-410F-4B07-8FA0-78BE5F1A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4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99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2026-04-16T09:14:00Z</dcterms:created>
  <dcterms:modified xsi:type="dcterms:W3CDTF">2026-04-16T09:31:00Z</dcterms:modified>
</cp:coreProperties>
</file>